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22" w:rsidRDefault="000A0322" w:rsidP="000A0322">
      <w:pPr>
        <w:jc w:val="right"/>
        <w:rPr>
          <w:b/>
          <w:i/>
          <w:sz w:val="28"/>
          <w:szCs w:val="28"/>
        </w:rPr>
      </w:pPr>
      <w:r>
        <w:rPr>
          <w:noProof/>
        </w:rPr>
        <mc:AlternateContent>
          <mc:Choice Requires="wps">
            <w:drawing>
              <wp:anchor distT="0" distB="0" distL="114300" distR="114300" simplePos="0" relativeHeight="251659264" behindDoc="0" locked="0" layoutInCell="1" allowOverlap="1" wp14:anchorId="36D15243" wp14:editId="174D93A8">
                <wp:simplePos x="0" y="0"/>
                <wp:positionH relativeFrom="column">
                  <wp:posOffset>-457200</wp:posOffset>
                </wp:positionH>
                <wp:positionV relativeFrom="paragraph">
                  <wp:posOffset>-457200</wp:posOffset>
                </wp:positionV>
                <wp:extent cx="7843520" cy="385445"/>
                <wp:effectExtent l="0" t="0" r="0" b="0"/>
                <wp:wrapNone/>
                <wp:docPr id="3"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43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28E5" id="_x0000_t202" coordsize="21600,21600" o:spt="202" path="m,l,21600r21600,l21600,xe">
                <v:stroke joinstyle="miter"/>
                <v:path gradientshapeok="t" o:connecttype="rect"/>
              </v:shapetype>
              <v:shape id="Text Box 2" o:spid="_x0000_s1026" type="#_x0000_t202" style="position:absolute;margin-left:-36pt;margin-top:-36pt;width:617.6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" filled="f" stroked="f" insetpen="t">
                <o:lock v:ext="edit" grouping="t"/>
              </v:shape>
            </w:pict>
          </mc:Fallback>
        </mc:AlternateContent>
      </w:r>
      <w:r>
        <w:tab/>
      </w:r>
      <w:r>
        <w:tab/>
      </w:r>
      <w:r>
        <w:tab/>
      </w:r>
      <w:r>
        <w:tab/>
      </w:r>
      <w:r>
        <w:tab/>
      </w:r>
      <w:r>
        <w:tab/>
      </w:r>
      <w:r>
        <w:tab/>
      </w:r>
      <w:r>
        <w:tab/>
      </w:r>
      <w:r>
        <w:rPr>
          <w:noProof/>
        </w:rPr>
        <w:drawing>
          <wp:inline distT="0" distB="0" distL="0" distR="0" wp14:anchorId="16265A2B" wp14:editId="585DD7B2">
            <wp:extent cx="2686050" cy="1524000"/>
            <wp:effectExtent l="19050" t="0" r="0" b="0"/>
            <wp:docPr id="1" name="Picture 2" descr="R:\Logos\Logos 2016\WCB&amp;VI logo_cen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s 2016\WCB&amp;VI logo_center_4c.jpg"/>
                    <pic:cNvPicPr>
                      <a:picLocks noChangeAspect="1" noChangeArrowheads="1"/>
                    </pic:cNvPicPr>
                  </pic:nvPicPr>
                  <pic:blipFill>
                    <a:blip r:embed="rId5"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p>
    <w:p w:rsidR="000A0322" w:rsidRDefault="000A0322" w:rsidP="000A0322">
      <w:pPr>
        <w:spacing w:line="160" w:lineRule="exact"/>
        <w:rPr>
          <w:b/>
          <w:i/>
          <w:sz w:val="28"/>
          <w:szCs w:val="28"/>
        </w:rPr>
      </w:pPr>
      <w:r>
        <w:rPr>
          <w:noProof/>
          <w:color w:val="auto"/>
          <w:kern w:val="0"/>
          <w:sz w:val="24"/>
          <w:szCs w:val="24"/>
        </w:rPr>
        <mc:AlternateContent>
          <mc:Choice Requires="wps">
            <w:drawing>
              <wp:anchor distT="36576" distB="36576" distL="36576" distR="36576" simplePos="0" relativeHeight="251660288" behindDoc="0" locked="0" layoutInCell="1" allowOverlap="1" wp14:anchorId="2328AAB9" wp14:editId="6A2A33A0">
                <wp:simplePos x="0" y="0"/>
                <wp:positionH relativeFrom="column">
                  <wp:posOffset>2295525</wp:posOffset>
                </wp:positionH>
                <wp:positionV relativeFrom="paragraph">
                  <wp:posOffset>47624</wp:posOffset>
                </wp:positionV>
                <wp:extent cx="43053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322" w:rsidRPr="004A6FEF" w:rsidRDefault="000A0322" w:rsidP="000A0322">
                            <w:pPr>
                              <w:widowControl w:val="0"/>
                              <w:jc w:val="right"/>
                              <w:rPr>
                                <w:rFonts w:ascii="Verdana" w:hAnsi="Verdana"/>
                              </w:rPr>
                            </w:pPr>
                            <w:r>
                              <w:tab/>
                            </w:r>
                            <w:r>
                              <w:tab/>
                            </w:r>
                            <w:r>
                              <w:tab/>
                            </w:r>
                            <w:r w:rsidRPr="004A6FEF">
                              <w:rPr>
                                <w:rFonts w:ascii="Verdana" w:hAnsi="Verdana"/>
                              </w:rPr>
                              <w:t>754 Williamson Street, Madison, WI 53703</w:t>
                            </w:r>
                          </w:p>
                          <w:p w:rsidR="000A0322" w:rsidRPr="004A6FEF" w:rsidRDefault="00BC35AD" w:rsidP="000A0322">
                            <w:pPr>
                              <w:widowControl w:val="0"/>
                              <w:jc w:val="right"/>
                              <w:rPr>
                                <w:rFonts w:ascii="Verdana" w:hAnsi="Verdana"/>
                              </w:rPr>
                            </w:pPr>
                            <w:hyperlink r:id="rId6" w:history="1">
                              <w:r w:rsidR="000A0322">
                                <w:rPr>
                                  <w:rStyle w:val="Hyperlink"/>
                                  <w:rFonts w:ascii="Verdana" w:hAnsi="Verdana"/>
                                  <w:color w:val="000000"/>
                                  <w:u w:val="none"/>
                                </w:rPr>
                                <w:t>WCB</w:t>
                              </w:r>
                              <w:r w:rsidR="000A0322" w:rsidRPr="004A6FEF">
                                <w:rPr>
                                  <w:rStyle w:val="Hyperlink"/>
                                  <w:rFonts w:ascii="Verdana" w:hAnsi="Verdana"/>
                                  <w:color w:val="000000"/>
                                  <w:u w:val="none"/>
                                </w:rPr>
                                <w:t>lind.org</w:t>
                              </w:r>
                            </w:hyperlink>
                            <w:r w:rsidR="000A0322">
                              <w:rPr>
                                <w:rFonts w:ascii="Verdana" w:hAnsi="Verdana"/>
                              </w:rPr>
                              <w:t xml:space="preserve">, </w:t>
                            </w:r>
                            <w:hyperlink r:id="rId7" w:history="1">
                              <w:r w:rsidR="000A0322" w:rsidRPr="00803336">
                                <w:rPr>
                                  <w:rStyle w:val="Hyperlink"/>
                                  <w:rFonts w:ascii="Verdana" w:hAnsi="Verdana"/>
                                </w:rPr>
                                <w:t>info@WCBlind.org</w:t>
                              </w:r>
                            </w:hyperlink>
                            <w:r w:rsidR="000A0322">
                              <w:rPr>
                                <w:rFonts w:ascii="Verdana" w:hAnsi="Verdana"/>
                              </w:rPr>
                              <w:br/>
                            </w:r>
                            <w:r w:rsidR="000A0322" w:rsidRPr="004A6FEF">
                              <w:rPr>
                                <w:rFonts w:ascii="Verdana" w:hAnsi="Verdana"/>
                              </w:rPr>
                              <w:t>608-255-1166</w:t>
                            </w:r>
                          </w:p>
                          <w:p w:rsidR="000A0322" w:rsidRPr="004A6FEF" w:rsidRDefault="000A0322" w:rsidP="000A0322">
                            <w:pPr>
                              <w:widowControl w:val="0"/>
                              <w:jc w:val="right"/>
                              <w:rPr>
                                <w:rFonts w:ascii="Verdana" w:hAnsi="Verdan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AAB9" id="Text Box 4" o:spid="_x0000_s1026" type="#_x0000_t202" style="position:absolute;margin-left:180.75pt;margin-top:3.75pt;width:339pt;height:4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pCwMAALY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" filled="f" stroked="f" strokecolor="black [0]" insetpen="t">
                <v:textbox inset="2.88pt,2.88pt,2.88pt,2.88pt">
                  <w:txbxContent>
                    <w:p w:rsidR="000A0322" w:rsidRPr="004A6FEF" w:rsidRDefault="000A0322" w:rsidP="000A0322">
                      <w:pPr>
                        <w:widowControl w:val="0"/>
                        <w:jc w:val="right"/>
                        <w:rPr>
                          <w:rFonts w:ascii="Verdana" w:hAnsi="Verdana"/>
                        </w:rPr>
                      </w:pPr>
                      <w:r>
                        <w:tab/>
                      </w:r>
                      <w:r>
                        <w:tab/>
                      </w:r>
                      <w:r>
                        <w:tab/>
                      </w:r>
                      <w:r w:rsidRPr="004A6FEF">
                        <w:rPr>
                          <w:rFonts w:ascii="Verdana" w:hAnsi="Verdana"/>
                        </w:rPr>
                        <w:t>754 Williamson Street, Madison, WI 53703</w:t>
                      </w:r>
                    </w:p>
                    <w:p w:rsidR="000A0322" w:rsidRPr="004A6FEF" w:rsidRDefault="000A0322" w:rsidP="000A0322">
                      <w:pPr>
                        <w:widowControl w:val="0"/>
                        <w:jc w:val="right"/>
                        <w:rPr>
                          <w:rFonts w:ascii="Verdana" w:hAnsi="Verdana"/>
                        </w:rPr>
                      </w:pPr>
                      <w:hyperlink r:id="rId8" w:history="1">
                        <w:r>
                          <w:rPr>
                            <w:rStyle w:val="Hyperlink"/>
                            <w:rFonts w:ascii="Verdana" w:hAnsi="Verdana"/>
                            <w:color w:val="000000"/>
                            <w:u w:val="none"/>
                          </w:rPr>
                          <w:t>WCB</w:t>
                        </w:r>
                        <w:r w:rsidRPr="004A6FEF">
                          <w:rPr>
                            <w:rStyle w:val="Hyperlink"/>
                            <w:rFonts w:ascii="Verdana" w:hAnsi="Verdana"/>
                            <w:color w:val="000000"/>
                            <w:u w:val="none"/>
                          </w:rPr>
                          <w:t>lind.org</w:t>
                        </w:r>
                      </w:hyperlink>
                      <w:r>
                        <w:rPr>
                          <w:rFonts w:ascii="Verdana" w:hAnsi="Verdana"/>
                        </w:rPr>
                        <w:t xml:space="preserve">, </w:t>
                      </w:r>
                      <w:hyperlink r:id="rId9" w:history="1">
                        <w:r w:rsidRPr="00803336">
                          <w:rPr>
                            <w:rStyle w:val="Hyperlink"/>
                            <w:rFonts w:ascii="Verdana" w:hAnsi="Verdana"/>
                          </w:rPr>
                          <w:t>info@WCBlind.org</w:t>
                        </w:r>
                      </w:hyperlink>
                      <w:r>
                        <w:rPr>
                          <w:rFonts w:ascii="Verdana" w:hAnsi="Verdana"/>
                        </w:rPr>
                        <w:br/>
                      </w:r>
                      <w:r w:rsidRPr="004A6FEF">
                        <w:rPr>
                          <w:rFonts w:ascii="Verdana" w:hAnsi="Verdana"/>
                        </w:rPr>
                        <w:t>608-255-1166</w:t>
                      </w:r>
                    </w:p>
                    <w:p w:rsidR="000A0322" w:rsidRPr="004A6FEF" w:rsidRDefault="000A0322" w:rsidP="000A0322">
                      <w:pPr>
                        <w:widowControl w:val="0"/>
                        <w:jc w:val="right"/>
                        <w:rPr>
                          <w:rFonts w:ascii="Verdana" w:hAnsi="Verdana"/>
                        </w:rPr>
                      </w:pPr>
                    </w:p>
                  </w:txbxContent>
                </v:textbox>
              </v:shape>
            </w:pict>
          </mc:Fallback>
        </mc:AlternateContent>
      </w:r>
    </w:p>
    <w:p w:rsidR="000A0322" w:rsidRDefault="000A0322" w:rsidP="000A0322">
      <w:pPr>
        <w:spacing w:line="160" w:lineRule="exact"/>
        <w:rPr>
          <w:b/>
          <w:sz w:val="28"/>
          <w:szCs w:val="28"/>
        </w:rPr>
      </w:pPr>
    </w:p>
    <w:p w:rsidR="000A0322" w:rsidRDefault="000A0322" w:rsidP="000A0322">
      <w:pPr>
        <w:spacing w:line="160" w:lineRule="exact"/>
        <w:rPr>
          <w:b/>
          <w:sz w:val="28"/>
          <w:szCs w:val="28"/>
        </w:rPr>
      </w:pPr>
    </w:p>
    <w:p w:rsidR="000A0322" w:rsidRDefault="000A0322" w:rsidP="000A0322">
      <w:pPr>
        <w:spacing w:line="160" w:lineRule="exact"/>
        <w:rPr>
          <w:b/>
          <w:sz w:val="28"/>
          <w:szCs w:val="28"/>
        </w:rPr>
      </w:pPr>
    </w:p>
    <w:p w:rsidR="000A0322" w:rsidRDefault="000A0322" w:rsidP="000A0322">
      <w:pPr>
        <w:spacing w:line="160" w:lineRule="exact"/>
        <w:rPr>
          <w:rFonts w:ascii="Verdana" w:hAnsi="Verdana"/>
          <w:sz w:val="24"/>
          <w:szCs w:val="24"/>
        </w:rPr>
      </w:pPr>
    </w:p>
    <w:p w:rsidR="000A0322" w:rsidRDefault="000A0322" w:rsidP="000A0322">
      <w:pPr>
        <w:spacing w:line="160" w:lineRule="exact"/>
        <w:rPr>
          <w:rFonts w:ascii="Verdana" w:hAnsi="Verdana"/>
          <w:sz w:val="24"/>
          <w:szCs w:val="24"/>
        </w:rPr>
      </w:pPr>
    </w:p>
    <w:p w:rsidR="000A0322" w:rsidRDefault="000A0322" w:rsidP="000A0322">
      <w:pPr>
        <w:spacing w:line="160" w:lineRule="exact"/>
        <w:rPr>
          <w:rFonts w:ascii="Verdana" w:hAnsi="Verdana"/>
          <w:sz w:val="24"/>
          <w:szCs w:val="24"/>
        </w:rPr>
      </w:pPr>
    </w:p>
    <w:p w:rsidR="000A0322" w:rsidRDefault="000A0322" w:rsidP="000A0322">
      <w:pPr>
        <w:spacing w:line="160" w:lineRule="exact"/>
        <w:rPr>
          <w:rFonts w:ascii="Verdana" w:hAnsi="Verdana"/>
          <w:sz w:val="24"/>
          <w:szCs w:val="24"/>
        </w:rPr>
      </w:pPr>
    </w:p>
    <w:p w:rsidR="000A0322" w:rsidRPr="00026066" w:rsidRDefault="000A0322" w:rsidP="000A0322">
      <w:pPr>
        <w:spacing w:after="200"/>
        <w:jc w:val="center"/>
        <w:rPr>
          <w:rFonts w:ascii="Verdana" w:eastAsia="Verdana" w:hAnsi="Verdana" w:cs="Verdana"/>
          <w:b/>
          <w:sz w:val="32"/>
          <w:szCs w:val="32"/>
        </w:rPr>
      </w:pPr>
      <w:r>
        <w:rPr>
          <w:rFonts w:ascii="Verdana" w:eastAsia="Verdana" w:hAnsi="Verdana" w:cs="Verdana"/>
          <w:b/>
          <w:sz w:val="32"/>
          <w:szCs w:val="32"/>
        </w:rPr>
        <w:t xml:space="preserve">Legislative Priorities: </w:t>
      </w:r>
      <w:r w:rsidRPr="00026066">
        <w:rPr>
          <w:rFonts w:ascii="Verdana" w:eastAsia="Verdana" w:hAnsi="Verdana" w:cs="Verdana"/>
          <w:b/>
          <w:sz w:val="32"/>
          <w:szCs w:val="32"/>
        </w:rPr>
        <w:t>Transportati</w:t>
      </w:r>
      <w:r>
        <w:rPr>
          <w:rFonts w:ascii="Verdana" w:eastAsia="Verdana" w:hAnsi="Verdana" w:cs="Verdana"/>
          <w:b/>
          <w:sz w:val="32"/>
          <w:szCs w:val="32"/>
        </w:rPr>
        <w:t xml:space="preserve">on </w:t>
      </w:r>
      <w:r>
        <w:rPr>
          <w:rFonts w:ascii="Verdana" w:eastAsia="Verdana" w:hAnsi="Verdana" w:cs="Verdana"/>
          <w:b/>
          <w:sz w:val="32"/>
          <w:szCs w:val="32"/>
        </w:rPr>
        <w:br/>
        <w:t>Alternatives &amp; Accessibility</w:t>
      </w:r>
    </w:p>
    <w:p w:rsidR="000A0322" w:rsidRDefault="000A0322" w:rsidP="000A0322">
      <w:pPr>
        <w:spacing w:after="200" w:line="276" w:lineRule="auto"/>
        <w:rPr>
          <w:rFonts w:ascii="Verdana" w:eastAsia="Verdana" w:hAnsi="Verdana" w:cs="Verdana"/>
          <w:sz w:val="24"/>
          <w:szCs w:val="24"/>
        </w:rPr>
      </w:pPr>
      <w:r w:rsidRPr="0033581B">
        <w:rPr>
          <w:rFonts w:ascii="Verdana" w:eastAsia="Verdana" w:hAnsi="Verdana" w:cs="Verdana"/>
          <w:sz w:val="24"/>
          <w:szCs w:val="24"/>
        </w:rPr>
        <w:t xml:space="preserve">Strengthen transit and transportation services to ensure people with disabilities across </w:t>
      </w:r>
      <w:r>
        <w:rPr>
          <w:rFonts w:ascii="Verdana" w:eastAsia="Verdana" w:hAnsi="Verdana" w:cs="Verdana"/>
          <w:sz w:val="24"/>
          <w:szCs w:val="24"/>
        </w:rPr>
        <w:t xml:space="preserve">Wisconsin </w:t>
      </w:r>
      <w:r w:rsidRPr="0033581B">
        <w:rPr>
          <w:rFonts w:ascii="Verdana" w:eastAsia="Verdana" w:hAnsi="Verdana" w:cs="Verdana"/>
          <w:sz w:val="24"/>
          <w:szCs w:val="24"/>
        </w:rPr>
        <w:t>can get where they need to go. Transportation is among the greatest challenges for people who are blind</w:t>
      </w:r>
      <w:r>
        <w:rPr>
          <w:rFonts w:ascii="Verdana" w:eastAsia="Verdana" w:hAnsi="Verdana" w:cs="Verdana"/>
          <w:sz w:val="24"/>
          <w:szCs w:val="24"/>
        </w:rPr>
        <w:t xml:space="preserve"> or </w:t>
      </w:r>
      <w:r w:rsidRPr="0033581B">
        <w:rPr>
          <w:rFonts w:ascii="Verdana" w:eastAsia="Verdana" w:hAnsi="Verdana" w:cs="Verdana"/>
          <w:sz w:val="24"/>
          <w:szCs w:val="24"/>
        </w:rPr>
        <w:t xml:space="preserve">visually impaired. </w:t>
      </w:r>
    </w:p>
    <w:p w:rsidR="000A0322" w:rsidRPr="00026066" w:rsidRDefault="000A0322" w:rsidP="000A0322">
      <w:pPr>
        <w:spacing w:after="200" w:line="276" w:lineRule="auto"/>
        <w:rPr>
          <w:rFonts w:ascii="Verdana" w:eastAsia="Verdana" w:hAnsi="Verdana" w:cs="Verdana"/>
          <w:sz w:val="24"/>
          <w:szCs w:val="24"/>
        </w:rPr>
      </w:pPr>
      <w:r w:rsidRPr="0033581B">
        <w:rPr>
          <w:rFonts w:ascii="Verdana" w:eastAsia="Verdana" w:hAnsi="Verdana" w:cs="Verdana"/>
          <w:sz w:val="24"/>
          <w:szCs w:val="24"/>
        </w:rPr>
        <w:t xml:space="preserve">Because they are transit dependent, access to employment, healthcare, and </w:t>
      </w:r>
      <w:r>
        <w:rPr>
          <w:rFonts w:ascii="Verdana" w:eastAsia="Verdana" w:hAnsi="Verdana" w:cs="Verdana"/>
          <w:sz w:val="24"/>
          <w:szCs w:val="24"/>
        </w:rPr>
        <w:t xml:space="preserve">community </w:t>
      </w:r>
      <w:r w:rsidRPr="0033581B">
        <w:rPr>
          <w:rFonts w:ascii="Verdana" w:eastAsia="Verdana" w:hAnsi="Verdana" w:cs="Verdana"/>
          <w:sz w:val="24"/>
          <w:szCs w:val="24"/>
        </w:rPr>
        <w:t>are limited</w:t>
      </w:r>
      <w:r>
        <w:rPr>
          <w:rFonts w:ascii="Verdana" w:eastAsia="Verdana" w:hAnsi="Verdana" w:cs="Verdana"/>
          <w:sz w:val="24"/>
          <w:szCs w:val="24"/>
        </w:rPr>
        <w:t xml:space="preserve"> due to inadequate transportation services</w:t>
      </w:r>
      <w:r w:rsidRPr="0033581B">
        <w:rPr>
          <w:rFonts w:ascii="Verdana" w:eastAsia="Verdana" w:hAnsi="Verdana" w:cs="Verdana"/>
          <w:sz w:val="24"/>
          <w:szCs w:val="24"/>
        </w:rPr>
        <w:t>.</w:t>
      </w:r>
      <w:r>
        <w:rPr>
          <w:rFonts w:ascii="Verdana" w:eastAsia="Verdana" w:hAnsi="Verdana" w:cs="Verdana"/>
          <w:sz w:val="24"/>
          <w:szCs w:val="24"/>
        </w:rPr>
        <w:t xml:space="preserve"> </w:t>
      </w:r>
      <w:r w:rsidRPr="004F231F">
        <w:rPr>
          <w:rFonts w:ascii="Verdana" w:eastAsia="Verdana" w:hAnsi="Verdana" w:cs="Verdana"/>
          <w:sz w:val="24"/>
          <w:szCs w:val="24"/>
        </w:rPr>
        <w:t>State</w:t>
      </w:r>
      <w:r>
        <w:rPr>
          <w:rFonts w:ascii="Verdana" w:eastAsia="Verdana" w:hAnsi="Verdana" w:cs="Verdana"/>
          <w:sz w:val="24"/>
          <w:szCs w:val="24"/>
        </w:rPr>
        <w:t xml:space="preserve"> transit aid is $4.8 million below the 2011 funding level and has led to a decline in services and increased fares. </w:t>
      </w:r>
    </w:p>
    <w:p w:rsidR="000A0322" w:rsidRPr="00A47ECD" w:rsidRDefault="000A0322" w:rsidP="000A0322">
      <w:pPr>
        <w:rPr>
          <w:rFonts w:ascii="Verdana" w:hAnsi="Verdana"/>
          <w:b/>
          <w:sz w:val="24"/>
          <w:szCs w:val="24"/>
        </w:rPr>
      </w:pPr>
      <w:r w:rsidRPr="00A47ECD">
        <w:rPr>
          <w:rFonts w:ascii="Verdana" w:hAnsi="Verdana"/>
          <w:b/>
          <w:sz w:val="24"/>
          <w:szCs w:val="24"/>
        </w:rPr>
        <w:t>Budget Items</w:t>
      </w:r>
      <w:r>
        <w:rPr>
          <w:rFonts w:ascii="Verdana" w:hAnsi="Verdana"/>
          <w:b/>
          <w:sz w:val="24"/>
          <w:szCs w:val="24"/>
        </w:rPr>
        <w:br/>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 xml:space="preserve">Increase funding for the specialized transit program for Seniors and Individuals with Disabilities (85.21) by $3 million per year and (85.215 to the tribes) by $50,000 to account for accelerating growth in the future. </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 xml:space="preserve">Increase the transit budget by $36.3 million per year to support increased transit and paratransit funding as well as necessary infrastructure improvements. </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 xml:space="preserve">Increase paratransit funding by $3 million per year. Paratransit funding has been flat since 2013. </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 xml:space="preserve">Create a shared-use transportation council to develop a strategic plan to increase transportation coordination across the state and between state agencies.  </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 xml:space="preserve">Provide $200,000 to the Department of Transportation to administer a grant program designed to help municipalities install accessible pedestrian signals. </w:t>
      </w:r>
    </w:p>
    <w:p w:rsidR="000A0322" w:rsidRPr="00D57B40" w:rsidRDefault="000A0322" w:rsidP="000A0322">
      <w:pPr>
        <w:rPr>
          <w:rFonts w:ascii="Verdana" w:hAnsi="Verdana"/>
          <w:sz w:val="24"/>
          <w:szCs w:val="24"/>
        </w:rPr>
      </w:pPr>
    </w:p>
    <w:p w:rsidR="000A0322" w:rsidRPr="00A47ECD" w:rsidRDefault="000A0322" w:rsidP="000A0322">
      <w:pPr>
        <w:rPr>
          <w:rFonts w:ascii="Verdana" w:hAnsi="Verdana"/>
          <w:b/>
          <w:sz w:val="24"/>
          <w:szCs w:val="24"/>
        </w:rPr>
      </w:pPr>
      <w:r w:rsidRPr="00A47ECD">
        <w:rPr>
          <w:rFonts w:ascii="Verdana" w:hAnsi="Verdana"/>
          <w:b/>
          <w:sz w:val="24"/>
          <w:szCs w:val="24"/>
        </w:rPr>
        <w:t>Legislative Items</w:t>
      </w:r>
      <w:r>
        <w:rPr>
          <w:rFonts w:ascii="Verdana" w:hAnsi="Verdana"/>
          <w:b/>
          <w:sz w:val="24"/>
          <w:szCs w:val="24"/>
        </w:rPr>
        <w:br/>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Increase public awareness of Wisconsin’s Pedestrian Right of Way laws to ensure drivers understand the White Cane Law. This will protect the rights of pedestrians with visual impairments. WCBVI supports the following:</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Enhanced public awareness regarding drivers' responsibilities to preserve the safety of persons using white canes or guide dogs, through the mechanisms of the Department of Transportation.</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lastRenderedPageBreak/>
        <w:t>Greater enforcement of pedestrian safety laws to guarantee the safety of pedestrians who are visually impaired or blind.</w:t>
      </w:r>
    </w:p>
    <w:p w:rsidR="000A0322" w:rsidRPr="00026066" w:rsidRDefault="000A0322" w:rsidP="000A0322">
      <w:pPr>
        <w:pStyle w:val="ListParagraph"/>
        <w:numPr>
          <w:ilvl w:val="0"/>
          <w:numId w:val="1"/>
        </w:numPr>
        <w:rPr>
          <w:rFonts w:ascii="Verdana" w:hAnsi="Verdana"/>
          <w:sz w:val="24"/>
          <w:szCs w:val="24"/>
        </w:rPr>
      </w:pPr>
      <w:r w:rsidRPr="00026066">
        <w:rPr>
          <w:rFonts w:ascii="Verdana" w:hAnsi="Verdana"/>
          <w:sz w:val="24"/>
          <w:szCs w:val="24"/>
        </w:rPr>
        <w:t>Increased penalties for the violation of laws designed to enhance the safety of pedestrians who are visually impaired or blind.</w:t>
      </w:r>
    </w:p>
    <w:p w:rsidR="000A0322" w:rsidRPr="001753D7" w:rsidRDefault="000A0322" w:rsidP="000A0322">
      <w:pPr>
        <w:ind w:left="720"/>
        <w:rPr>
          <w:rFonts w:ascii="Verdana" w:hAnsi="Verdana"/>
          <w:sz w:val="24"/>
          <w:szCs w:val="24"/>
        </w:rPr>
      </w:pPr>
      <w:bookmarkStart w:id="0" w:name="_GoBack"/>
      <w:bookmarkEnd w:id="0"/>
    </w:p>
    <w:p w:rsidR="00183769" w:rsidRDefault="00BC35AD"/>
    <w:sectPr w:rsidR="00183769" w:rsidSect="002B087A">
      <w:pgSz w:w="12240" w:h="15840"/>
      <w:pgMar w:top="720" w:right="990" w:bottom="288"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01E"/>
    <w:multiLevelType w:val="hybridMultilevel"/>
    <w:tmpl w:val="AE5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22"/>
    <w:rsid w:val="000A0322"/>
    <w:rsid w:val="003C1D52"/>
    <w:rsid w:val="00A74AB7"/>
    <w:rsid w:val="00BC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BFC"/>
  <w15:chartTrackingRefBased/>
  <w15:docId w15:val="{3D3FAE5D-63F6-447E-AB44-526057FE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2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322"/>
    <w:rPr>
      <w:color w:val="0066FF"/>
      <w:u w:val="single"/>
    </w:rPr>
  </w:style>
  <w:style w:type="paragraph" w:styleId="ListParagraph">
    <w:name w:val="List Paragraph"/>
    <w:basedOn w:val="Normal"/>
    <w:uiPriority w:val="34"/>
    <w:qFormat/>
    <w:rsid w:val="000A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lind.org" TargetMode="External"/><Relationship Id="rId3" Type="http://schemas.openxmlformats.org/officeDocument/2006/relationships/settings" Target="settings.xml"/><Relationship Id="rId7" Type="http://schemas.openxmlformats.org/officeDocument/2006/relationships/hyperlink" Target="mailto:info@WC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lin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Wente</dc:creator>
  <cp:keywords/>
  <dc:description/>
  <cp:lastModifiedBy>Hannah Wente</cp:lastModifiedBy>
  <cp:revision>2</cp:revision>
  <dcterms:created xsi:type="dcterms:W3CDTF">2019-04-03T20:01:00Z</dcterms:created>
  <dcterms:modified xsi:type="dcterms:W3CDTF">2019-04-04T15:25:00Z</dcterms:modified>
</cp:coreProperties>
</file>