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DC906A" w14:textId="214F394A" w:rsidR="00F67C6D" w:rsidRDefault="00F67C6D" w:rsidP="00F67C6D">
      <w:r>
        <w:rPr>
          <w:noProof/>
        </w:rPr>
        <w:drawing>
          <wp:inline distT="0" distB="0" distL="0" distR="0" wp14:anchorId="775588CC" wp14:editId="46054D7A">
            <wp:extent cx="3307080" cy="530352"/>
            <wp:effectExtent l="0" t="0" r="7620" b="3175"/>
            <wp:docPr id="1766436044" name="Picture 1" descr="WCBV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6436044" name="Picture 1" descr="WCBVI logo"/>
                    <pic:cNvPicPr/>
                  </pic:nvPicPr>
                  <pic:blipFill>
                    <a:blip r:embed="rId4" cstate="print">
                      <a:extLst>
                        <a:ext uri="{28A0092B-C50C-407E-A947-70E740481C1C}">
                          <a14:useLocalDpi xmlns:a14="http://schemas.microsoft.com/office/drawing/2010/main" val="0"/>
                        </a:ext>
                      </a:extLst>
                    </a:blip>
                    <a:stretch>
                      <a:fillRect/>
                    </a:stretch>
                  </pic:blipFill>
                  <pic:spPr>
                    <a:xfrm>
                      <a:off x="0" y="0"/>
                      <a:ext cx="3307080" cy="530352"/>
                    </a:xfrm>
                    <a:prstGeom prst="rect">
                      <a:avLst/>
                    </a:prstGeom>
                  </pic:spPr>
                </pic:pic>
              </a:graphicData>
            </a:graphic>
          </wp:inline>
        </w:drawing>
      </w:r>
    </w:p>
    <w:p w14:paraId="5029E7A4" w14:textId="3A01B63A" w:rsidR="00F67C6D" w:rsidRPr="00F67C6D" w:rsidRDefault="00F67C6D" w:rsidP="00F67C6D">
      <w:pPr>
        <w:pStyle w:val="Title"/>
        <w:jc w:val="center"/>
        <w:rPr>
          <w:b/>
          <w:bCs/>
        </w:rPr>
      </w:pPr>
      <w:r w:rsidRPr="00F67C6D">
        <w:rPr>
          <w:b/>
          <w:bCs/>
          <w:sz w:val="36"/>
          <w:szCs w:val="36"/>
        </w:rPr>
        <w:br/>
      </w:r>
      <w:r w:rsidRPr="00F67C6D">
        <w:rPr>
          <w:b/>
          <w:bCs/>
        </w:rPr>
        <w:t>HEALTH &amp; LONG-TERM CARE</w:t>
      </w:r>
    </w:p>
    <w:p w14:paraId="165629F0" w14:textId="63AB3449" w:rsidR="00F67C6D" w:rsidRPr="00F67C6D" w:rsidRDefault="00F67C6D" w:rsidP="00F67C6D">
      <w:pPr>
        <w:rPr>
          <w:rFonts w:ascii="Verdana" w:hAnsi="Verdana"/>
          <w:sz w:val="28"/>
          <w:szCs w:val="28"/>
        </w:rPr>
      </w:pPr>
      <w:r>
        <w:rPr>
          <w:rFonts w:ascii="Verdana" w:hAnsi="Verdana"/>
          <w:sz w:val="28"/>
          <w:szCs w:val="28"/>
        </w:rPr>
        <w:br/>
      </w:r>
      <w:r w:rsidRPr="00F67C6D">
        <w:rPr>
          <w:rFonts w:ascii="Verdana" w:hAnsi="Verdana"/>
          <w:sz w:val="28"/>
          <w:szCs w:val="28"/>
        </w:rPr>
        <w:t>Over 109,000 Wisconsinites have a life-shaping visual impairment. This number is expected to double in the next 15 to 20 years. People with vision-related disabilities face significant barriers to health care access and</w:t>
      </w:r>
      <w:r w:rsidRPr="00F67C6D">
        <w:rPr>
          <w:rFonts w:ascii="Verdana" w:hAnsi="Verdana"/>
          <w:sz w:val="28"/>
          <w:szCs w:val="28"/>
        </w:rPr>
        <w:t xml:space="preserve"> </w:t>
      </w:r>
      <w:r w:rsidRPr="00F67C6D">
        <w:rPr>
          <w:rFonts w:ascii="Verdana" w:hAnsi="Verdana"/>
          <w:sz w:val="28"/>
          <w:szCs w:val="28"/>
        </w:rPr>
        <w:t>are vulnerable to changes in both the Medicaid and private health insurance systems. Additionally, vision loss is itself a risk factor for a range of physical and mental health conditions, including diabetes, high blood pressure, arthritis, depression and anxiety, and individuals with vision loss are at a greater risk for falls.</w:t>
      </w:r>
    </w:p>
    <w:p w14:paraId="72F8330C" w14:textId="3FF64A00" w:rsidR="00F67C6D" w:rsidRPr="00F67C6D" w:rsidRDefault="00F67C6D" w:rsidP="00F67C6D">
      <w:pPr>
        <w:rPr>
          <w:rFonts w:ascii="Verdana" w:hAnsi="Verdana"/>
          <w:sz w:val="28"/>
          <w:szCs w:val="28"/>
        </w:rPr>
      </w:pPr>
      <w:r w:rsidRPr="00F67C6D">
        <w:rPr>
          <w:rFonts w:ascii="Verdana" w:hAnsi="Verdana"/>
          <w:sz w:val="28"/>
          <w:szCs w:val="28"/>
        </w:rPr>
        <w:t>Vision loss disproportionately affects women and people of color. Women comprise 59% of the older population of people with vision impairment. In Wisconsin, African Americans are more than three times as likely to report vision impairment as white residents.</w:t>
      </w:r>
    </w:p>
    <w:p w14:paraId="36CB41BB" w14:textId="77777777" w:rsidR="00F67C6D" w:rsidRPr="00F67C6D" w:rsidRDefault="00F67C6D" w:rsidP="00F67C6D">
      <w:pPr>
        <w:pStyle w:val="Heading1"/>
        <w:rPr>
          <w:b/>
          <w:bCs/>
        </w:rPr>
      </w:pPr>
      <w:r w:rsidRPr="00F67C6D">
        <w:rPr>
          <w:b/>
          <w:bCs/>
        </w:rPr>
        <w:t>BUDGET ITEMS</w:t>
      </w:r>
    </w:p>
    <w:p w14:paraId="2EA582C5" w14:textId="77777777" w:rsidR="00F67C6D" w:rsidRPr="00F67C6D" w:rsidRDefault="00F67C6D" w:rsidP="00F67C6D">
      <w:pPr>
        <w:pStyle w:val="Heading2"/>
        <w:rPr>
          <w:b/>
          <w:bCs/>
          <w:sz w:val="36"/>
          <w:szCs w:val="36"/>
        </w:rPr>
      </w:pPr>
      <w:r w:rsidRPr="00F67C6D">
        <w:rPr>
          <w:b/>
          <w:bCs/>
          <w:sz w:val="36"/>
          <w:szCs w:val="36"/>
        </w:rPr>
        <w:t>Expand Access to Vision Services for Medicaid Members:</w:t>
      </w:r>
    </w:p>
    <w:p w14:paraId="1E967F42" w14:textId="05AABE3F" w:rsidR="00F67C6D" w:rsidRPr="00F67C6D" w:rsidRDefault="00F67C6D" w:rsidP="00F67C6D">
      <w:pPr>
        <w:rPr>
          <w:rFonts w:ascii="Verdana" w:hAnsi="Verdana"/>
          <w:sz w:val="28"/>
          <w:szCs w:val="28"/>
        </w:rPr>
      </w:pPr>
      <w:r w:rsidRPr="00F67C6D">
        <w:rPr>
          <w:rFonts w:ascii="Verdana" w:hAnsi="Verdana"/>
          <w:sz w:val="28"/>
          <w:szCs w:val="28"/>
        </w:rPr>
        <w:t>Expand the type of certified professionals who can bill Medicaid for vision services. Currently, Medicaid will pay for vision rehabilitation if the services are performed by a licensed occupational therapist (OT). Other highly qualified vision rehabilitation specialists, such as a certified low vision therapist, certified orientation and mobility specialist, certified vision rehabilitation specialist or certified access technology trainer cannot be reimbursed by Medicaid.</w:t>
      </w:r>
      <w:r>
        <w:rPr>
          <w:rFonts w:ascii="Verdana" w:hAnsi="Verdana"/>
          <w:sz w:val="28"/>
          <w:szCs w:val="28"/>
        </w:rPr>
        <w:br/>
      </w:r>
    </w:p>
    <w:p w14:paraId="0E9CC997" w14:textId="61F7BE78" w:rsidR="00F67C6D" w:rsidRPr="00F67C6D" w:rsidRDefault="00F67C6D" w:rsidP="00F67C6D">
      <w:pPr>
        <w:pStyle w:val="Heading2"/>
        <w:rPr>
          <w:b/>
          <w:bCs/>
          <w:sz w:val="36"/>
          <w:szCs w:val="36"/>
        </w:rPr>
      </w:pPr>
      <w:r w:rsidRPr="00F67C6D">
        <w:rPr>
          <w:b/>
          <w:bCs/>
          <w:sz w:val="36"/>
          <w:szCs w:val="36"/>
        </w:rPr>
        <w:lastRenderedPageBreak/>
        <w:t xml:space="preserve">Establish a </w:t>
      </w:r>
      <w:r>
        <w:rPr>
          <w:b/>
          <w:bCs/>
          <w:sz w:val="36"/>
          <w:szCs w:val="36"/>
        </w:rPr>
        <w:t>V</w:t>
      </w:r>
      <w:r w:rsidRPr="00F67C6D">
        <w:rPr>
          <w:b/>
          <w:bCs/>
          <w:sz w:val="36"/>
          <w:szCs w:val="36"/>
        </w:rPr>
        <w:t xml:space="preserve">oluntary </w:t>
      </w:r>
      <w:r>
        <w:rPr>
          <w:b/>
          <w:bCs/>
          <w:sz w:val="36"/>
          <w:szCs w:val="36"/>
        </w:rPr>
        <w:t>R</w:t>
      </w:r>
      <w:r w:rsidRPr="00F67C6D">
        <w:rPr>
          <w:b/>
          <w:bCs/>
          <w:sz w:val="36"/>
          <w:szCs w:val="36"/>
        </w:rPr>
        <w:t xml:space="preserve">egistry of </w:t>
      </w:r>
      <w:r>
        <w:rPr>
          <w:b/>
          <w:bCs/>
          <w:sz w:val="36"/>
          <w:szCs w:val="36"/>
        </w:rPr>
        <w:t>B</w:t>
      </w:r>
      <w:r w:rsidRPr="00F67C6D">
        <w:rPr>
          <w:b/>
          <w:bCs/>
          <w:sz w:val="36"/>
          <w:szCs w:val="36"/>
        </w:rPr>
        <w:t xml:space="preserve">abies and </w:t>
      </w:r>
      <w:r>
        <w:rPr>
          <w:b/>
          <w:bCs/>
          <w:sz w:val="36"/>
          <w:szCs w:val="36"/>
        </w:rPr>
        <w:t>Y</w:t>
      </w:r>
      <w:r w:rsidRPr="00F67C6D">
        <w:rPr>
          <w:b/>
          <w:bCs/>
          <w:sz w:val="36"/>
          <w:szCs w:val="36"/>
        </w:rPr>
        <w:t xml:space="preserve">oung </w:t>
      </w:r>
      <w:r>
        <w:rPr>
          <w:b/>
          <w:bCs/>
          <w:sz w:val="36"/>
          <w:szCs w:val="36"/>
        </w:rPr>
        <w:t>C</w:t>
      </w:r>
      <w:r w:rsidRPr="00F67C6D">
        <w:rPr>
          <w:b/>
          <w:bCs/>
          <w:sz w:val="36"/>
          <w:szCs w:val="36"/>
        </w:rPr>
        <w:t xml:space="preserve">hildren with </w:t>
      </w:r>
      <w:r>
        <w:rPr>
          <w:b/>
          <w:bCs/>
          <w:sz w:val="36"/>
          <w:szCs w:val="36"/>
        </w:rPr>
        <w:t>S</w:t>
      </w:r>
      <w:r w:rsidRPr="00F67C6D">
        <w:rPr>
          <w:b/>
          <w:bCs/>
          <w:sz w:val="36"/>
          <w:szCs w:val="36"/>
        </w:rPr>
        <w:t xml:space="preserve">ignificant </w:t>
      </w:r>
      <w:r>
        <w:rPr>
          <w:b/>
          <w:bCs/>
          <w:sz w:val="36"/>
          <w:szCs w:val="36"/>
        </w:rPr>
        <w:t>V</w:t>
      </w:r>
      <w:r w:rsidRPr="00F67C6D">
        <w:rPr>
          <w:b/>
          <w:bCs/>
          <w:sz w:val="36"/>
          <w:szCs w:val="36"/>
        </w:rPr>
        <w:t xml:space="preserve">ision </w:t>
      </w:r>
      <w:r>
        <w:rPr>
          <w:b/>
          <w:bCs/>
          <w:sz w:val="36"/>
          <w:szCs w:val="36"/>
        </w:rPr>
        <w:t>L</w:t>
      </w:r>
      <w:r w:rsidRPr="00F67C6D">
        <w:rPr>
          <w:b/>
          <w:bCs/>
          <w:sz w:val="36"/>
          <w:szCs w:val="36"/>
        </w:rPr>
        <w:t>oss:</w:t>
      </w:r>
    </w:p>
    <w:p w14:paraId="48BAC8D3" w14:textId="1E96E7ED" w:rsidR="00F67C6D" w:rsidRPr="00F67C6D" w:rsidRDefault="00F67C6D" w:rsidP="00F67C6D">
      <w:pPr>
        <w:rPr>
          <w:rFonts w:ascii="Verdana" w:hAnsi="Verdana"/>
          <w:sz w:val="28"/>
          <w:szCs w:val="28"/>
        </w:rPr>
      </w:pPr>
      <w:r w:rsidRPr="00F67C6D">
        <w:rPr>
          <w:rFonts w:ascii="Verdana" w:hAnsi="Verdana"/>
          <w:sz w:val="28"/>
          <w:szCs w:val="28"/>
        </w:rPr>
        <w:t>Families of children diagnosed with a visual condition during an eye exam would have the opportunity to be entered into an electronic</w:t>
      </w:r>
      <w:r w:rsidRPr="00F67C6D">
        <w:rPr>
          <w:rFonts w:ascii="Verdana" w:hAnsi="Verdana"/>
          <w:sz w:val="28"/>
          <w:szCs w:val="28"/>
        </w:rPr>
        <w:t xml:space="preserve"> </w:t>
      </w:r>
      <w:r w:rsidRPr="00F67C6D">
        <w:rPr>
          <w:rFonts w:ascii="Verdana" w:hAnsi="Verdana"/>
          <w:sz w:val="28"/>
          <w:szCs w:val="28"/>
        </w:rPr>
        <w:t>system. They will then be referred to an organization equipped to provide the support they need. The registry would also provide important data to inform policymakers of the level of need statewide for vision services.</w:t>
      </w:r>
    </w:p>
    <w:p w14:paraId="40B723F0" w14:textId="1EF534C6" w:rsidR="00F67C6D" w:rsidRPr="00F67C6D" w:rsidRDefault="00F67C6D" w:rsidP="00F67C6D">
      <w:pPr>
        <w:pStyle w:val="Heading2"/>
        <w:rPr>
          <w:b/>
          <w:bCs/>
        </w:rPr>
      </w:pPr>
      <w:r w:rsidRPr="00F67C6D">
        <w:rPr>
          <w:b/>
          <w:bCs/>
        </w:rPr>
        <w:t xml:space="preserve">Medicaid </w:t>
      </w:r>
      <w:r>
        <w:rPr>
          <w:b/>
          <w:bCs/>
        </w:rPr>
        <w:t>E</w:t>
      </w:r>
      <w:r w:rsidRPr="00F67C6D">
        <w:rPr>
          <w:b/>
          <w:bCs/>
        </w:rPr>
        <w:t>xpansion</w:t>
      </w:r>
    </w:p>
    <w:p w14:paraId="4CEA8D7F" w14:textId="77777777" w:rsidR="00F67C6D" w:rsidRPr="00F67C6D" w:rsidRDefault="00F67C6D" w:rsidP="00F67C6D">
      <w:pPr>
        <w:rPr>
          <w:rFonts w:ascii="Verdana" w:hAnsi="Verdana"/>
          <w:sz w:val="28"/>
          <w:szCs w:val="28"/>
        </w:rPr>
      </w:pPr>
      <w:r w:rsidRPr="00F67C6D">
        <w:rPr>
          <w:rFonts w:ascii="Verdana" w:hAnsi="Verdana"/>
          <w:sz w:val="28"/>
          <w:szCs w:val="28"/>
        </w:rPr>
        <w:t>For years, Wisconsin has been leaving federal Medicaid dollars on the table by choosing not to accept Medicaid expansion. Expanding Medicaid would enable the state to provide coverage for thousands more individuals.</w:t>
      </w:r>
    </w:p>
    <w:p w14:paraId="5D431CC6" w14:textId="77777777" w:rsidR="00F67C6D" w:rsidRPr="00DA34A8" w:rsidRDefault="00F67C6D" w:rsidP="00DA34A8">
      <w:pPr>
        <w:pStyle w:val="Heading2"/>
        <w:rPr>
          <w:b/>
          <w:bCs/>
        </w:rPr>
      </w:pPr>
      <w:r w:rsidRPr="00DA34A8">
        <w:rPr>
          <w:b/>
          <w:bCs/>
        </w:rPr>
        <w:t>Behavioral Health Program</w:t>
      </w:r>
    </w:p>
    <w:p w14:paraId="2736699A" w14:textId="72B3B763" w:rsidR="005F39E5" w:rsidRPr="00F67C6D" w:rsidRDefault="00F67C6D" w:rsidP="00F67C6D">
      <w:pPr>
        <w:rPr>
          <w:rFonts w:ascii="Verdana" w:hAnsi="Verdana"/>
          <w:sz w:val="28"/>
          <w:szCs w:val="28"/>
        </w:rPr>
      </w:pPr>
      <w:r w:rsidRPr="00F67C6D">
        <w:rPr>
          <w:rFonts w:ascii="Verdana" w:hAnsi="Verdana"/>
          <w:sz w:val="28"/>
          <w:szCs w:val="28"/>
        </w:rPr>
        <w:t>Provide $1.9 million in the second year of the budget to establish a behavioral health treatment program for individuals who are deaf- blind, deaf or hard of hearing.</w:t>
      </w:r>
    </w:p>
    <w:sectPr w:rsidR="005F39E5" w:rsidRPr="00F67C6D" w:rsidSect="00F67C6D">
      <w:pgSz w:w="12240" w:h="15840"/>
      <w:pgMar w:top="1440" w:right="1440" w:bottom="45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7C6D"/>
    <w:rsid w:val="003B4E93"/>
    <w:rsid w:val="00401B55"/>
    <w:rsid w:val="004E3833"/>
    <w:rsid w:val="005F39E5"/>
    <w:rsid w:val="00947943"/>
    <w:rsid w:val="00AE60E8"/>
    <w:rsid w:val="00C72654"/>
    <w:rsid w:val="00DA34A8"/>
    <w:rsid w:val="00F67C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A13D94"/>
  <w15:chartTrackingRefBased/>
  <w15:docId w15:val="{2F55D974-CDAB-4388-B157-176F79FF0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67C6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67C6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67C6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67C6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67C6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67C6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67C6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67C6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67C6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7C6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F67C6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67C6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67C6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67C6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67C6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67C6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67C6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67C6D"/>
    <w:rPr>
      <w:rFonts w:eastAsiaTheme="majorEastAsia" w:cstheme="majorBidi"/>
      <w:color w:val="272727" w:themeColor="text1" w:themeTint="D8"/>
    </w:rPr>
  </w:style>
  <w:style w:type="paragraph" w:styleId="Title">
    <w:name w:val="Title"/>
    <w:basedOn w:val="Normal"/>
    <w:next w:val="Normal"/>
    <w:link w:val="TitleChar"/>
    <w:uiPriority w:val="10"/>
    <w:qFormat/>
    <w:rsid w:val="00F67C6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67C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67C6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67C6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67C6D"/>
    <w:pPr>
      <w:spacing w:before="160"/>
      <w:jc w:val="center"/>
    </w:pPr>
    <w:rPr>
      <w:i/>
      <w:iCs/>
      <w:color w:val="404040" w:themeColor="text1" w:themeTint="BF"/>
    </w:rPr>
  </w:style>
  <w:style w:type="character" w:customStyle="1" w:styleId="QuoteChar">
    <w:name w:val="Quote Char"/>
    <w:basedOn w:val="DefaultParagraphFont"/>
    <w:link w:val="Quote"/>
    <w:uiPriority w:val="29"/>
    <w:rsid w:val="00F67C6D"/>
    <w:rPr>
      <w:i/>
      <w:iCs/>
      <w:color w:val="404040" w:themeColor="text1" w:themeTint="BF"/>
    </w:rPr>
  </w:style>
  <w:style w:type="paragraph" w:styleId="ListParagraph">
    <w:name w:val="List Paragraph"/>
    <w:basedOn w:val="Normal"/>
    <w:uiPriority w:val="34"/>
    <w:qFormat/>
    <w:rsid w:val="00F67C6D"/>
    <w:pPr>
      <w:ind w:left="720"/>
      <w:contextualSpacing/>
    </w:pPr>
  </w:style>
  <w:style w:type="character" w:styleId="IntenseEmphasis">
    <w:name w:val="Intense Emphasis"/>
    <w:basedOn w:val="DefaultParagraphFont"/>
    <w:uiPriority w:val="21"/>
    <w:qFormat/>
    <w:rsid w:val="00F67C6D"/>
    <w:rPr>
      <w:i/>
      <w:iCs/>
      <w:color w:val="0F4761" w:themeColor="accent1" w:themeShade="BF"/>
    </w:rPr>
  </w:style>
  <w:style w:type="paragraph" w:styleId="IntenseQuote">
    <w:name w:val="Intense Quote"/>
    <w:basedOn w:val="Normal"/>
    <w:next w:val="Normal"/>
    <w:link w:val="IntenseQuoteChar"/>
    <w:uiPriority w:val="30"/>
    <w:qFormat/>
    <w:rsid w:val="00F67C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67C6D"/>
    <w:rPr>
      <w:i/>
      <w:iCs/>
      <w:color w:val="0F4761" w:themeColor="accent1" w:themeShade="BF"/>
    </w:rPr>
  </w:style>
  <w:style w:type="character" w:styleId="IntenseReference">
    <w:name w:val="Intense Reference"/>
    <w:basedOn w:val="DefaultParagraphFont"/>
    <w:uiPriority w:val="32"/>
    <w:qFormat/>
    <w:rsid w:val="00F67C6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355</Words>
  <Characters>1900</Characters>
  <Application>Microsoft Office Word</Application>
  <DocSecurity>0</DocSecurity>
  <Lines>48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 and Long-Term Care 2025</dc:title>
  <dc:subject/>
  <dc:creator>Bob Jacobson</dc:creator>
  <cp:keywords/>
  <dc:description/>
  <cp:lastModifiedBy>Bob Jacobson</cp:lastModifiedBy>
  <cp:revision>4</cp:revision>
  <dcterms:created xsi:type="dcterms:W3CDTF">2025-05-16T15:07:00Z</dcterms:created>
  <dcterms:modified xsi:type="dcterms:W3CDTF">2025-05-16T15:18:00Z</dcterms:modified>
</cp:coreProperties>
</file>